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CC" w:rsidRDefault="008D7ACC" w:rsidP="008D7AC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3095" cy="67500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ACC" w:rsidRDefault="008D7ACC" w:rsidP="008D7AC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D7ACC" w:rsidRDefault="008D7ACC" w:rsidP="008D7AC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D7ACC" w:rsidRDefault="008D7ACC" w:rsidP="008D7AC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D7ACC" w:rsidRDefault="008D7ACC" w:rsidP="008D7AC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F22320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«НАРУЖНАЯ РЕКЛАМА»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2568" w:rsidRDefault="001A2568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2568" w:rsidRPr="000C16C0" w:rsidRDefault="001A2568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A92A50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 xml:space="preserve">Микова 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1A25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>
        <w:rPr>
          <w:rFonts w:ascii="Times New Roman" w:hAnsi="Times New Roman" w:cs="Times New Roman"/>
          <w:sz w:val="28"/>
          <w:szCs w:val="28"/>
        </w:rPr>
        <w:t xml:space="preserve">Наружная реклама»  -  </w:t>
      </w:r>
      <w:r w:rsidR="001A2568">
        <w:rPr>
          <w:rFonts w:ascii="Times New Roman" w:hAnsi="Times New Roman" w:cs="Times New Roman"/>
          <w:sz w:val="28"/>
          <w:szCs w:val="28"/>
        </w:rPr>
        <w:t>ДГТУ, Ростов-на-Дону</w:t>
      </w:r>
      <w:r w:rsidR="00A92A50">
        <w:rPr>
          <w:rFonts w:ascii="Times New Roman" w:hAnsi="Times New Roman" w:cs="Times New Roman"/>
          <w:sz w:val="28"/>
          <w:szCs w:val="28"/>
        </w:rPr>
        <w:t>, 2024</w:t>
      </w:r>
      <w:r w:rsidR="007B3BF3">
        <w:rPr>
          <w:rFonts w:ascii="Times New Roman" w:hAnsi="Times New Roman" w:cs="Times New Roman"/>
          <w:sz w:val="28"/>
          <w:szCs w:val="28"/>
        </w:rPr>
        <w:t>. -  6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224B78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</w:t>
      </w:r>
      <w:r w:rsidR="00A92A50" w:rsidRPr="00A92A50">
        <w:rPr>
          <w:rFonts w:ascii="Times New Roman" w:hAnsi="Times New Roman" w:cs="Times New Roman"/>
          <w:sz w:val="28"/>
          <w:szCs w:val="28"/>
        </w:rPr>
        <w:t>и связи с общественностью в брендинге и интернет-маркетинге</w:t>
      </w:r>
      <w:r w:rsidR="00A92A50">
        <w:rPr>
          <w:rFonts w:ascii="Times New Roman" w:hAnsi="Times New Roman" w:cs="Times New Roman"/>
          <w:sz w:val="28"/>
          <w:szCs w:val="28"/>
        </w:rPr>
        <w:t xml:space="preserve"> </w:t>
      </w:r>
      <w:r w:rsidRPr="000C16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746546">
      <w:pPr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E4" w:rsidRDefault="002A01E4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7ACC" w:rsidRPr="005F1EE4" w:rsidRDefault="008D7ACC" w:rsidP="008D7AC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A92A50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8D7ACC" w:rsidRDefault="008D7ACC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7ACC" w:rsidRDefault="008D7ACC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2568" w:rsidRDefault="001A2568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A5ECC" w:rsidRDefault="003A5EC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Учебная дисциплина направлена на усвоение студентами знаний в области наружной рекламы и предназначена для изучения основ организации и управления производства, распространения и размещения наружной рекламы. Структура курса нацеливает студентов на работу как теоретического, так и прикладного характера, что способствует получению соответствующих базовых знаний для решения профессиональных задач.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«Наружная реклама» является формирование целостного видения процесса производства наружной рекламы, как со стороны рекламодателя, так и со стороны рекламопроизводителя; современные тенденции и особенности развития рынка наружной рекламы.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Письменные работы выполняются по специальной тематике контрольных работ, составленных кафедрой «Истории и культурологии» на основе учебной программы курса «Наружная реклама».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971E1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971E11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971E11">
        <w:rPr>
          <w:rFonts w:ascii="Times New Roman" w:hAnsi="Times New Roman" w:cs="Times New Roman"/>
          <w:bCs/>
          <w:i/>
          <w:color w:val="000000"/>
          <w:sz w:val="28"/>
          <w:szCs w:val="28"/>
        </w:rPr>
        <w:lastRenderedPageBreak/>
        <w:t>из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помощи студентам, проводится защита контрольной работы в виде собеседования по теме контрольной работы, т.е.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«Наружная реклама».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1E11" w:rsidRPr="00971E11" w:rsidRDefault="00971E11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Тематика контрольных работ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История появления и развития наружной рекламы. 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Наружная реклама как канал коммуникации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Место наружной рекламы на рекламном рынке и её современное состояние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Виды наружной рекламы. Типология рекламных носителей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Специфика использования наружной рекламы в местах продаж. Принципы оформления витрин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Реклама на транспорте: виды и эффективность воздействия.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Нестандартные виды наружной рекламы.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Материалы, используемые для изготовления различных носителей наружной рекламы и технологии печати изображений.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Инновационные технологии в наружной рекламе.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Психологическое воздействие наружной рекламы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Принципы разработки макетов для наружной рекламы различных видов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Использование различных цветовых схем и шрифтов для усиления эффективности наружной рекламы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Элементы фирменного стиля, используемые в наружной рекламе. 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Наружная реклама как объект медиапланирования. 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Расчет эффективности отдельных конструкций наружной рекламы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Планирование закупок площадей наружной рекламы и принципы составления адресных программ.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Применение закона «О Рекламе» на рынке наружной рекламы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Порядок размещения и паспортизация наружной рекламы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Регулирование рынка наружной рекламы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наружной рекламы в формировании городской среды</w:t>
      </w:r>
    </w:p>
    <w:p w:rsidR="00971E11" w:rsidRPr="00971E11" w:rsidRDefault="00971E11" w:rsidP="00AE33D6">
      <w:pPr>
        <w:numPr>
          <w:ilvl w:val="0"/>
          <w:numId w:val="20"/>
        </w:numPr>
        <w:spacing w:after="0"/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Особенности рынка наружной рекламы г. Ростова-на-Дону. Прогнозирование перспектив развития наружной рекламы.</w:t>
      </w:r>
    </w:p>
    <w:p w:rsidR="00971E11" w:rsidRPr="00971E11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E3A8E" w:rsidRDefault="00CE3A8E" w:rsidP="00CE3A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рекомендованных информационных ресурсов</w:t>
      </w:r>
    </w:p>
    <w:p w:rsidR="00481410" w:rsidRPr="00224B78" w:rsidRDefault="00481410" w:rsidP="00481410">
      <w:pPr>
        <w:tabs>
          <w:tab w:val="left" w:pos="540"/>
        </w:tabs>
        <w:spacing w:after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481410" w:rsidRDefault="00481410" w:rsidP="0048141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1.Основная литература</w:t>
      </w:r>
    </w:p>
    <w:p w:rsidR="00481410" w:rsidRPr="00224B78" w:rsidRDefault="00481410" w:rsidP="0048141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410" w:rsidRPr="00481410" w:rsidRDefault="00481410" w:rsidP="00481410">
      <w:pPr>
        <w:pStyle w:val="ab"/>
        <w:numPr>
          <w:ilvl w:val="1"/>
          <w:numId w:val="27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410">
        <w:rPr>
          <w:rFonts w:ascii="Times New Roman" w:hAnsi="Times New Roman" w:cs="Times New Roman"/>
          <w:sz w:val="28"/>
          <w:szCs w:val="28"/>
        </w:rPr>
        <w:t xml:space="preserve">Панкратов Ф.Г., Баженов Ю.К., </w:t>
      </w:r>
      <w:r w:rsidRPr="00481410">
        <w:rPr>
          <w:rFonts w:ascii="Times New Roman" w:hAnsi="Times New Roman" w:cs="Times New Roman"/>
          <w:color w:val="000000"/>
          <w:sz w:val="28"/>
          <w:szCs w:val="28"/>
        </w:rPr>
        <w:t xml:space="preserve">Шахурин В. Г. </w:t>
      </w:r>
      <w:r w:rsidRPr="00481410">
        <w:rPr>
          <w:rFonts w:ascii="Times New Roman" w:hAnsi="Times New Roman" w:cs="Times New Roman"/>
          <w:sz w:val="28"/>
          <w:szCs w:val="28"/>
        </w:rPr>
        <w:t xml:space="preserve"> Основы рекламы: Учебник. – М: «</w:t>
      </w:r>
      <w:r w:rsidRPr="00481410">
        <w:rPr>
          <w:rFonts w:ascii="Times New Roman" w:hAnsi="Times New Roman" w:cs="Times New Roman"/>
          <w:color w:val="000000"/>
          <w:sz w:val="28"/>
          <w:szCs w:val="28"/>
        </w:rPr>
        <w:t>Дашков и К», 2023</w:t>
      </w:r>
    </w:p>
    <w:p w:rsidR="00481410" w:rsidRPr="00481410" w:rsidRDefault="00481410" w:rsidP="00481410">
      <w:pPr>
        <w:pStyle w:val="ab"/>
        <w:numPr>
          <w:ilvl w:val="1"/>
          <w:numId w:val="27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hyperlink r:id="rId8" w:history="1">
        <w:r w:rsidRPr="0048141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Поляков В. А.</w:t>
        </w:r>
      </w:hyperlink>
      <w:r w:rsidRPr="00481410">
        <w:rPr>
          <w:rFonts w:ascii="Times New Roman" w:hAnsi="Times New Roman" w:cs="Times New Roman"/>
          <w:color w:val="000000"/>
          <w:sz w:val="28"/>
          <w:szCs w:val="28"/>
        </w:rPr>
        <w:t> , </w:t>
      </w:r>
      <w:hyperlink r:id="rId9" w:history="1">
        <w:r w:rsidRPr="0048141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Васильев Г. А.</w:t>
        </w:r>
      </w:hyperlink>
      <w:r>
        <w:t xml:space="preserve"> </w:t>
      </w:r>
      <w:r w:rsidRPr="00481410">
        <w:rPr>
          <w:rFonts w:ascii="Times New Roman" w:hAnsi="Times New Roman" w:cs="Times New Roman"/>
          <w:color w:val="000000"/>
          <w:sz w:val="28"/>
          <w:szCs w:val="28"/>
        </w:rPr>
        <w:t>Реклама: разработка и технологии производства: учебник и практикум- М.: «Юрайт», 2023</w:t>
      </w:r>
    </w:p>
    <w:p w:rsidR="00481410" w:rsidRPr="00224B78" w:rsidRDefault="00481410" w:rsidP="0048141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1410" w:rsidRDefault="00481410" w:rsidP="00481410">
      <w:pPr>
        <w:numPr>
          <w:ilvl w:val="0"/>
          <w:numId w:val="27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481410" w:rsidRPr="00224B78" w:rsidRDefault="00481410" w:rsidP="00481410">
      <w:pPr>
        <w:tabs>
          <w:tab w:val="left" w:pos="540"/>
        </w:tabs>
        <w:spacing w:after="0" w:line="240" w:lineRule="auto"/>
        <w:ind w:left="1068" w:right="113"/>
        <w:rPr>
          <w:rFonts w:ascii="Times New Roman" w:hAnsi="Times New Roman" w:cs="Times New Roman"/>
          <w:b/>
          <w:sz w:val="28"/>
          <w:szCs w:val="28"/>
        </w:rPr>
      </w:pPr>
    </w:p>
    <w:p w:rsidR="00481410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B78">
        <w:rPr>
          <w:rFonts w:ascii="Times New Roman" w:hAnsi="Times New Roman" w:cs="Times New Roman"/>
          <w:color w:val="000000"/>
          <w:sz w:val="28"/>
          <w:szCs w:val="28"/>
        </w:rPr>
        <w:t xml:space="preserve">Бердышев С.Н. Эффективная наружная реклама. Практическое пособие. - 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К, Ай Пи Эр Медиа, 2017</w:t>
      </w: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81410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2479">
        <w:rPr>
          <w:rFonts w:ascii="Times New Roman" w:hAnsi="Times New Roman" w:cs="Times New Roman"/>
          <w:color w:val="000000"/>
          <w:sz w:val="28"/>
          <w:szCs w:val="28"/>
        </w:rPr>
        <w:t>Богацкая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6247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деятельности: Учебное пособие</w:t>
      </w:r>
      <w:r>
        <w:rPr>
          <w:rFonts w:ascii="Times New Roman" w:hAnsi="Times New Roman" w:cs="Times New Roman"/>
          <w:color w:val="000000"/>
          <w:sz w:val="28"/>
          <w:szCs w:val="28"/>
        </w:rPr>
        <w:t>. – М: «Университетская книга», 2020</w:t>
      </w:r>
    </w:p>
    <w:p w:rsidR="00481410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Васильева Е.А. Как сделать рекламу эффективной? 25 беспроигрышных идей. Практическое пособие.-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К, Ай Пи Эр Медиа, 2019</w:t>
      </w:r>
    </w:p>
    <w:p w:rsidR="00481410" w:rsidRPr="00CC61CF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Евстафьев В. А., Молин А. В. </w:t>
      </w:r>
      <w:hyperlink r:id="rId10" w:tgtFrame="_blank" w:history="1"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Организация и практика работы </w:t>
        </w:r>
        <w:r w:rsidRPr="00CC61CF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ного агентства. Уче</w:t>
        </w:r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бник. -  М.: «Дашков и К°», 2019</w:t>
        </w:r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</w:t>
        </w:r>
      </w:hyperlink>
    </w:p>
    <w:p w:rsidR="00481410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Кузнецов П. А. </w:t>
      </w:r>
      <w:hyperlink r:id="rId11" w:tgtFrame="_blank" w:history="1"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Современные технологии коммерческой </w:t>
        </w:r>
        <w:r w:rsidRPr="00CC61CF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ы. </w:t>
        </w:r>
      </w:hyperlink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Практическое по</w:t>
      </w:r>
      <w:r>
        <w:rPr>
          <w:rFonts w:ascii="Times New Roman" w:hAnsi="Times New Roman" w:cs="Times New Roman"/>
          <w:color w:val="000000"/>
          <w:sz w:val="28"/>
          <w:szCs w:val="28"/>
        </w:rPr>
        <w:t>собие. - М.: «Дашков и К°», 2018</w:t>
      </w:r>
    </w:p>
    <w:p w:rsidR="00481410" w:rsidRPr="00361A43" w:rsidRDefault="00481410" w:rsidP="00481410">
      <w:pPr>
        <w:numPr>
          <w:ilvl w:val="1"/>
          <w:numId w:val="27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Ткаченко Н. В., Ткаченко О. Н. </w:t>
      </w:r>
      <w:hyperlink r:id="rId12" w:tgtFrame="_blank" w:history="1"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Креативная </w:t>
        </w:r>
        <w:r w:rsidRPr="00CC61CF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реклама</w:t>
        </w:r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 : технологии проектирования</w:t>
        </w:r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r w:rsidRPr="00CC61C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Учебное пособие. - М.:Юнити-Дана, 201</w:t>
        </w:r>
      </w:hyperlink>
      <w:r w:rsidRPr="002B23BC">
        <w:rPr>
          <w:rFonts w:ascii="Times New Roman" w:hAnsi="Times New Roman" w:cs="Times New Roman"/>
          <w:sz w:val="28"/>
          <w:szCs w:val="28"/>
        </w:rPr>
        <w:t>7</w:t>
      </w:r>
    </w:p>
    <w:p w:rsidR="00481410" w:rsidRPr="0027400D" w:rsidRDefault="00481410" w:rsidP="00481410">
      <w:pPr>
        <w:ind w:right="125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2.6.</w:t>
      </w:r>
      <w:r w:rsidRPr="002740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Тимофеев М.И. </w:t>
      </w:r>
      <w:r w:rsidRPr="00462D6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Психология рекламы: Учебное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М:</w:t>
      </w:r>
      <w:r w:rsidRPr="00397A0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9"/>
          <w:szCs w:val="19"/>
        </w:rPr>
        <w:t>«</w:t>
      </w:r>
      <w:r w:rsidRPr="00397A05">
        <w:rPr>
          <w:rFonts w:ascii="Times New Roman" w:eastAsia="Times New Roman" w:hAnsi="Times New Roman" w:cs="Times New Roman"/>
          <w:color w:val="000000"/>
          <w:sz w:val="28"/>
          <w:szCs w:val="28"/>
        </w:rPr>
        <w:t>РИОР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97A05">
        <w:rPr>
          <w:rFonts w:ascii="Times New Roman" w:eastAsia="Times New Roman" w:hAnsi="Times New Roman" w:cs="Times New Roman"/>
          <w:color w:val="000000"/>
          <w:sz w:val="28"/>
          <w:szCs w:val="28"/>
        </w:rPr>
        <w:t>, 2023</w:t>
      </w:r>
    </w:p>
    <w:p w:rsidR="00481410" w:rsidRDefault="00481410" w:rsidP="0048141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1410" w:rsidRPr="00481410" w:rsidRDefault="00481410" w:rsidP="00481410">
      <w:pPr>
        <w:pStyle w:val="ab"/>
        <w:numPr>
          <w:ilvl w:val="0"/>
          <w:numId w:val="27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410">
        <w:rPr>
          <w:rFonts w:ascii="Times New Roman" w:hAnsi="Times New Roman" w:cs="Times New Roman"/>
          <w:b/>
          <w:sz w:val="28"/>
          <w:szCs w:val="28"/>
        </w:rPr>
        <w:t>Периодические издания</w:t>
      </w:r>
    </w:p>
    <w:p w:rsidR="00481410" w:rsidRPr="00224B78" w:rsidRDefault="00481410" w:rsidP="0048141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410" w:rsidRPr="00224B78" w:rsidRDefault="00481410" w:rsidP="00481410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Pr="00224B78">
        <w:rPr>
          <w:rFonts w:ascii="Times New Roman" w:hAnsi="Times New Roman" w:cs="Times New Roman"/>
          <w:bCs/>
          <w:sz w:val="28"/>
          <w:szCs w:val="28"/>
        </w:rPr>
        <w:t>Бренд-менеджмент. Журнал. – М.: ООО «Издательский дом «Гребенников»</w:t>
      </w:r>
    </w:p>
    <w:p w:rsidR="00481410" w:rsidRPr="00481410" w:rsidRDefault="00481410" w:rsidP="00481410">
      <w:pPr>
        <w:pStyle w:val="ab"/>
        <w:numPr>
          <w:ilvl w:val="1"/>
          <w:numId w:val="28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410">
        <w:rPr>
          <w:rFonts w:ascii="Times New Roman" w:hAnsi="Times New Roman" w:cs="Times New Roman"/>
          <w:sz w:val="28"/>
          <w:szCs w:val="28"/>
        </w:rPr>
        <w:t>Наружка. Журнал. - М.:</w:t>
      </w:r>
      <w:r w:rsidRPr="00481410">
        <w:rPr>
          <w:rFonts w:ascii="Times New Roman" w:hAnsi="Times New Roman" w:cs="Times New Roman"/>
          <w:bCs/>
          <w:sz w:val="28"/>
          <w:szCs w:val="28"/>
        </w:rPr>
        <w:t xml:space="preserve"> Издательский</w:t>
      </w:r>
      <w:r w:rsidRPr="00481410">
        <w:rPr>
          <w:rFonts w:ascii="Times New Roman" w:hAnsi="Times New Roman" w:cs="Times New Roman"/>
          <w:sz w:val="28"/>
          <w:szCs w:val="28"/>
        </w:rPr>
        <w:t> дом «Ар энд Ди Коммуникейшнз»</w:t>
      </w:r>
    </w:p>
    <w:p w:rsidR="00481410" w:rsidRPr="00224B78" w:rsidRDefault="00481410" w:rsidP="00481410">
      <w:pPr>
        <w:numPr>
          <w:ilvl w:val="1"/>
          <w:numId w:val="28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78">
        <w:rPr>
          <w:rFonts w:ascii="Times New Roman" w:hAnsi="Times New Roman" w:cs="Times New Roman"/>
          <w:sz w:val="28"/>
          <w:szCs w:val="28"/>
        </w:rPr>
        <w:t>Реклама. Теория и практика. Журнал.- М.: ООО «Объединённая редакция»</w:t>
      </w:r>
    </w:p>
    <w:p w:rsidR="00481410" w:rsidRPr="00224B78" w:rsidRDefault="00481410" w:rsidP="00481410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1410" w:rsidRPr="00224B78" w:rsidRDefault="00481410" w:rsidP="00481410">
      <w:pPr>
        <w:numPr>
          <w:ilvl w:val="0"/>
          <w:numId w:val="28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481410" w:rsidRPr="00224B78" w:rsidRDefault="00481410" w:rsidP="00481410">
      <w:pPr>
        <w:tabs>
          <w:tab w:val="left" w:pos="54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Американская Ассоциация маркетинга.// </w:t>
      </w:r>
      <w:hyperlink r:id="rId13" w:history="1">
        <w:r w:rsidRPr="0048141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 w:cs="Times New Roman"/>
          <w:sz w:val="28"/>
          <w:szCs w:val="28"/>
        </w:rPr>
        <w:t>Европейская маркетинговая конфедерация//</w:t>
      </w:r>
      <w:r w:rsidRPr="00481410">
        <w:rPr>
          <w:rFonts w:ascii="Times New Roman" w:hAnsi="Times New Roman" w:cs="Times New Roman"/>
        </w:rPr>
        <w:t xml:space="preserve"> </w:t>
      </w:r>
      <w:r w:rsidRPr="00481410">
        <w:rPr>
          <w:rFonts w:ascii="Times New Roman" w:hAnsi="Times New Roman" w:cs="Times New Roman"/>
          <w:sz w:val="28"/>
          <w:szCs w:val="28"/>
        </w:rPr>
        <w:t>https://www.emc.be/</w:t>
      </w:r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SOSTAV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</w:t>
      </w:r>
      <w:hyperlink r:id="rId14" w:history="1">
        <w:r w:rsidRPr="0048141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//www.sostav.ru</w:t>
        </w:r>
      </w:hyperlink>
    </w:p>
    <w:p w:rsidR="00481410" w:rsidRPr="00481410" w:rsidRDefault="00481410" w:rsidP="00481410">
      <w:pPr>
        <w:pStyle w:val="ab"/>
        <w:numPr>
          <w:ilvl w:val="1"/>
          <w:numId w:val="30"/>
        </w:numPr>
        <w:tabs>
          <w:tab w:val="left" w:pos="284"/>
        </w:tabs>
        <w:spacing w:after="0" w:line="360" w:lineRule="auto"/>
        <w:ind w:left="0" w:right="125" w:firstLine="709"/>
        <w:rPr>
          <w:rFonts w:ascii="Times New Roman" w:hAnsi="Times New Roman" w:cs="Times New Roman"/>
          <w:sz w:val="28"/>
          <w:szCs w:val="28"/>
        </w:rPr>
      </w:pP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ADINDEX</w:t>
      </w:r>
      <w:r w:rsidRPr="004814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 //adindex.ru</w:t>
      </w:r>
    </w:p>
    <w:p w:rsidR="00971E11" w:rsidRPr="00AE33D6" w:rsidRDefault="00971E11" w:rsidP="00481410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971E11" w:rsidRPr="00AE33D6" w:rsidSect="00AE33D6">
      <w:footerReference w:type="default" r:id="rId15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937" w:rsidRDefault="00AC6937" w:rsidP="00AE33D6">
      <w:pPr>
        <w:spacing w:after="0" w:line="240" w:lineRule="auto"/>
      </w:pPr>
      <w:r>
        <w:separator/>
      </w:r>
    </w:p>
  </w:endnote>
  <w:endnote w:type="continuationSeparator" w:id="1">
    <w:p w:rsidR="00AC6937" w:rsidRDefault="00AC6937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42406B">
        <w:pPr>
          <w:pStyle w:val="a7"/>
          <w:jc w:val="center"/>
        </w:pPr>
        <w:fldSimple w:instr=" PAGE   \* MERGEFORMAT ">
          <w:r w:rsidR="00A92A50">
            <w:rPr>
              <w:noProof/>
            </w:rPr>
            <w:t>1</w:t>
          </w:r>
        </w:fldSimple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937" w:rsidRDefault="00AC6937" w:rsidP="00AE33D6">
      <w:pPr>
        <w:spacing w:after="0" w:line="240" w:lineRule="auto"/>
      </w:pPr>
      <w:r>
        <w:separator/>
      </w:r>
    </w:p>
  </w:footnote>
  <w:footnote w:type="continuationSeparator" w:id="1">
    <w:p w:rsidR="00AC6937" w:rsidRDefault="00AC6937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46B80"/>
    <w:multiLevelType w:val="multilevel"/>
    <w:tmpl w:val="F1D620DC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A558D5"/>
    <w:multiLevelType w:val="multilevel"/>
    <w:tmpl w:val="518A6B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D569CE"/>
    <w:multiLevelType w:val="multilevel"/>
    <w:tmpl w:val="8FB8FE5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575EE4"/>
    <w:multiLevelType w:val="multilevel"/>
    <w:tmpl w:val="25C2FC7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8A40627"/>
    <w:multiLevelType w:val="multilevel"/>
    <w:tmpl w:val="8AFC6A0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64B1A0A"/>
    <w:multiLevelType w:val="multilevel"/>
    <w:tmpl w:val="739A61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15"/>
  </w:num>
  <w:num w:numId="4">
    <w:abstractNumId w:val="28"/>
  </w:num>
  <w:num w:numId="5">
    <w:abstractNumId w:val="22"/>
  </w:num>
  <w:num w:numId="6">
    <w:abstractNumId w:val="5"/>
  </w:num>
  <w:num w:numId="7">
    <w:abstractNumId w:val="17"/>
  </w:num>
  <w:num w:numId="8">
    <w:abstractNumId w:val="6"/>
  </w:num>
  <w:num w:numId="9">
    <w:abstractNumId w:val="26"/>
  </w:num>
  <w:num w:numId="10">
    <w:abstractNumId w:val="21"/>
  </w:num>
  <w:num w:numId="11">
    <w:abstractNumId w:val="1"/>
  </w:num>
  <w:num w:numId="12">
    <w:abstractNumId w:val="25"/>
  </w:num>
  <w:num w:numId="13">
    <w:abstractNumId w:val="10"/>
  </w:num>
  <w:num w:numId="14">
    <w:abstractNumId w:val="23"/>
  </w:num>
  <w:num w:numId="15">
    <w:abstractNumId w:val="9"/>
  </w:num>
  <w:num w:numId="16">
    <w:abstractNumId w:val="0"/>
  </w:num>
  <w:num w:numId="17">
    <w:abstractNumId w:val="13"/>
  </w:num>
  <w:num w:numId="18">
    <w:abstractNumId w:val="19"/>
  </w:num>
  <w:num w:numId="19">
    <w:abstractNumId w:val="27"/>
  </w:num>
  <w:num w:numId="20">
    <w:abstractNumId w:val="18"/>
  </w:num>
  <w:num w:numId="21">
    <w:abstractNumId w:val="11"/>
  </w:num>
  <w:num w:numId="22">
    <w:abstractNumId w:val="12"/>
  </w:num>
  <w:num w:numId="23">
    <w:abstractNumId w:val="2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</w:num>
  <w:num w:numId="26">
    <w:abstractNumId w:val="14"/>
  </w:num>
  <w:num w:numId="27">
    <w:abstractNumId w:val="4"/>
  </w:num>
  <w:num w:numId="28">
    <w:abstractNumId w:val="7"/>
  </w:num>
  <w:num w:numId="29">
    <w:abstractNumId w:val="2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192125"/>
    <w:rsid w:val="001A2568"/>
    <w:rsid w:val="001D3223"/>
    <w:rsid w:val="00224B78"/>
    <w:rsid w:val="00286DFE"/>
    <w:rsid w:val="002A01E4"/>
    <w:rsid w:val="002B5589"/>
    <w:rsid w:val="002B6A8D"/>
    <w:rsid w:val="0033472B"/>
    <w:rsid w:val="003A00E7"/>
    <w:rsid w:val="003A5ECC"/>
    <w:rsid w:val="0042406B"/>
    <w:rsid w:val="00481410"/>
    <w:rsid w:val="00575684"/>
    <w:rsid w:val="00577219"/>
    <w:rsid w:val="00593B81"/>
    <w:rsid w:val="005C1FBA"/>
    <w:rsid w:val="005D63CB"/>
    <w:rsid w:val="00613992"/>
    <w:rsid w:val="00643940"/>
    <w:rsid w:val="006511A5"/>
    <w:rsid w:val="00693AB0"/>
    <w:rsid w:val="0074598B"/>
    <w:rsid w:val="00746546"/>
    <w:rsid w:val="007B3BF3"/>
    <w:rsid w:val="007B469D"/>
    <w:rsid w:val="007C3E62"/>
    <w:rsid w:val="007F24F2"/>
    <w:rsid w:val="00870FFC"/>
    <w:rsid w:val="008D7ACC"/>
    <w:rsid w:val="009124CE"/>
    <w:rsid w:val="00915366"/>
    <w:rsid w:val="00971E11"/>
    <w:rsid w:val="00A541CF"/>
    <w:rsid w:val="00A92A50"/>
    <w:rsid w:val="00AC6937"/>
    <w:rsid w:val="00AE33D6"/>
    <w:rsid w:val="00B54394"/>
    <w:rsid w:val="00B62C9D"/>
    <w:rsid w:val="00BD6910"/>
    <w:rsid w:val="00C209F5"/>
    <w:rsid w:val="00CA46F1"/>
    <w:rsid w:val="00CE3A8E"/>
    <w:rsid w:val="00D76A7F"/>
    <w:rsid w:val="00D854DB"/>
    <w:rsid w:val="00D969B9"/>
    <w:rsid w:val="00DA0F8B"/>
    <w:rsid w:val="00DB75C8"/>
    <w:rsid w:val="00E51E36"/>
    <w:rsid w:val="00E771BB"/>
    <w:rsid w:val="00F22320"/>
    <w:rsid w:val="00F3042B"/>
    <w:rsid w:val="00FE3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author_red&amp;id=32244" TargetMode="External"/><Relationship Id="rId13" Type="http://schemas.openxmlformats.org/officeDocument/2006/relationships/hyperlink" Target="https://www.ama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_red&amp;id=114422&amp;sr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_red&amp;id=345403&amp;sr=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_red&amp;id=385767&amp;s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author_red&amp;id=24174" TargetMode="External"/><Relationship Id="rId14" Type="http://schemas.openxmlformats.org/officeDocument/2006/relationships/hyperlink" Target="https://www.sost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19</cp:revision>
  <dcterms:created xsi:type="dcterms:W3CDTF">2018-09-08T16:01:00Z</dcterms:created>
  <dcterms:modified xsi:type="dcterms:W3CDTF">2024-08-27T20:09:00Z</dcterms:modified>
</cp:coreProperties>
</file>